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9B0" w:rsidRDefault="00BA39B0" w:rsidP="00BA39B0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მწონავ-შემდგენელის</w:t>
      </w:r>
    </w:p>
    <w:p w:rsidR="00BA39B0" w:rsidRDefault="00BA39B0" w:rsidP="00BA39B0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საკვალიფიკაციო მოთხოვნები</w:t>
      </w:r>
    </w:p>
    <w:p w:rsidR="00BA39B0" w:rsidRDefault="00BA39B0" w:rsidP="00BA39B0">
      <w:pPr>
        <w:rPr>
          <w:rFonts w:ascii="Sylfaen" w:hAnsi="Sylfaen"/>
          <w:b/>
          <w:sz w:val="24"/>
          <w:szCs w:val="24"/>
        </w:rPr>
      </w:pPr>
    </w:p>
    <w:p w:rsidR="00BA39B0" w:rsidRDefault="00BA39B0" w:rsidP="00BA39B0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</w:rPr>
        <w:t>1.</w:t>
      </w:r>
      <w:r>
        <w:rPr>
          <w:rFonts w:ascii="Sylfaen" w:hAnsi="Sylfaen"/>
          <w:b/>
          <w:sz w:val="24"/>
          <w:szCs w:val="24"/>
          <w:lang w:val="ka-GE"/>
        </w:rPr>
        <w:t>ფუნქცია მოვალეობები:</w:t>
      </w:r>
    </w:p>
    <w:tbl>
      <w:tblPr>
        <w:tblpPr w:leftFromText="180" w:rightFromText="180" w:bottomFromText="200" w:vertAnchor="text" w:tblpY="1"/>
        <w:tblOverlap w:val="never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"/>
        <w:gridCol w:w="8827"/>
      </w:tblGrid>
      <w:tr w:rsidR="00BA39B0" w:rsidTr="00BA39B0">
        <w:trPr>
          <w:trHeight w:val="35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B0" w:rsidRDefault="00BA39B0" w:rsidP="00764DDA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B0" w:rsidRDefault="00BA39B0">
            <w:pPr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სამანევრო სამუშაოების უშუალო ხელმძღვანელობა</w:t>
            </w:r>
          </w:p>
        </w:tc>
      </w:tr>
      <w:tr w:rsidR="00BA39B0" w:rsidTr="00BA39B0">
        <w:trPr>
          <w:trHeight w:val="26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B0" w:rsidRDefault="00BA39B0" w:rsidP="00764DDA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B0" w:rsidRDefault="00BA39B0">
            <w:pPr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სამანევრო სამუშაოების უსაფრთხო და დროული შესრულება</w:t>
            </w:r>
            <w:r>
              <w:rPr>
                <w:rFonts w:ascii="Sylfaen" w:hAnsi="Sylfaen" w:cs="Sylfaen"/>
              </w:rPr>
              <w:t>;</w:t>
            </w:r>
          </w:p>
        </w:tc>
      </w:tr>
      <w:tr w:rsidR="00BA39B0" w:rsidTr="00BA39B0">
        <w:trPr>
          <w:trHeight w:val="55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B0" w:rsidRDefault="00BA39B0" w:rsidP="00764DDA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B0" w:rsidRDefault="00BA39B0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მატარებლების შედგენა-დაშლა, მატარებლებზე ვაგონთა ახსნა-მიბმის სამუშაოების წარმოება;</w:t>
            </w:r>
          </w:p>
        </w:tc>
      </w:tr>
      <w:tr w:rsidR="00BA39B0" w:rsidTr="00BA39B0">
        <w:trPr>
          <w:trHeight w:val="32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B0" w:rsidRDefault="00BA39B0" w:rsidP="00764DDA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B0" w:rsidRDefault="00BA39B0">
            <w:pPr>
              <w:spacing w:after="0"/>
              <w:rPr>
                <w:rFonts w:ascii="Sylfaen" w:hAnsi="Sylfaen"/>
                <w:color w:val="000000"/>
              </w:rPr>
            </w:pPr>
            <w:r>
              <w:rPr>
                <w:rFonts w:ascii="Sylfaen" w:hAnsi="Sylfaen" w:cs="Sylfaen"/>
                <w:lang w:val="ka-GE"/>
              </w:rPr>
              <w:t xml:space="preserve">   მანევრების </w:t>
            </w:r>
            <w:r>
              <w:rPr>
                <w:rFonts w:ascii="Sylfaen" w:hAnsi="Sylfaen" w:cs="Sylfaen"/>
              </w:rPr>
              <w:t xml:space="preserve">  </w:t>
            </w:r>
            <w:r>
              <w:rPr>
                <w:rFonts w:ascii="Sylfaen" w:hAnsi="Sylfaen" w:cs="Sylfaen"/>
                <w:lang w:val="ka-GE"/>
              </w:rPr>
              <w:t>დროს არაცენტრალიზებული  ისრების  გადაყვანა</w:t>
            </w:r>
            <w:r>
              <w:rPr>
                <w:rFonts w:ascii="Sylfaen" w:hAnsi="Sylfaen" w:cs="Sylfaen"/>
              </w:rPr>
              <w:t>;</w:t>
            </w:r>
          </w:p>
        </w:tc>
      </w:tr>
      <w:tr w:rsidR="00BA39B0" w:rsidTr="00BA39B0">
        <w:trPr>
          <w:trHeight w:val="647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B0" w:rsidRDefault="00BA39B0">
            <w:pPr>
              <w:spacing w:after="0"/>
              <w:ind w:left="360"/>
              <w:rPr>
                <w:rFonts w:ascii="Sylfaen" w:hAnsi="Sylfaen" w:cs="Sylfaen"/>
                <w:b/>
                <w:bCs/>
                <w:color w:val="000000"/>
              </w:rPr>
            </w:pPr>
            <w:r>
              <w:rPr>
                <w:rFonts w:ascii="Sylfaen" w:hAnsi="Sylfaen" w:cs="Sylfaen"/>
                <w:b/>
                <w:bCs/>
                <w:color w:val="000000"/>
              </w:rPr>
              <w:t>5.</w:t>
            </w:r>
          </w:p>
        </w:tc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B0" w:rsidRDefault="00BA39B0">
            <w:pPr>
              <w:spacing w:after="0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სადგურში მიმღებ-გამგზავნ ლიანდაგში ვაგონების გადაყენებისას და მისასვლელ ლიანდაგებში ვაგონების დამაგრება სამუხრუჭო ბუნიკებით;</w:t>
            </w:r>
          </w:p>
        </w:tc>
      </w:tr>
      <w:tr w:rsidR="00BA39B0" w:rsidTr="00BA39B0">
        <w:trPr>
          <w:trHeight w:val="55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B0" w:rsidRDefault="00BA39B0">
            <w:pPr>
              <w:spacing w:after="0"/>
              <w:ind w:left="360"/>
              <w:rPr>
                <w:rFonts w:ascii="Sylfaen" w:hAnsi="Sylfaen" w:cs="Sylfaen"/>
                <w:b/>
                <w:bCs/>
                <w:color w:val="000000"/>
              </w:rPr>
            </w:pPr>
            <w:r>
              <w:rPr>
                <w:rFonts w:ascii="Sylfaen" w:hAnsi="Sylfaen" w:cs="Sylfaen"/>
                <w:b/>
                <w:bCs/>
                <w:color w:val="000000"/>
              </w:rPr>
              <w:t>6.</w:t>
            </w:r>
          </w:p>
        </w:tc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B0" w:rsidRDefault="00BA39B0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გადასაზიდი ტვირთებით დატვირთული ვაგონების, კონტეინერების მიღება და გაგზავნა. სადგურის დანიშნულებით მიღებული ვაგონების, კონტეინერების ტვირტ-მიმღებზე ჩაბარება;</w:t>
            </w:r>
          </w:p>
        </w:tc>
      </w:tr>
      <w:tr w:rsidR="00BA39B0" w:rsidTr="00BA39B0">
        <w:trPr>
          <w:trHeight w:val="55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B0" w:rsidRDefault="00BA39B0">
            <w:pPr>
              <w:spacing w:after="0"/>
              <w:ind w:left="360"/>
              <w:rPr>
                <w:rFonts w:ascii="Sylfaen" w:hAnsi="Sylfaen" w:cs="Sylfaen"/>
                <w:b/>
                <w:bCs/>
                <w:color w:val="000000"/>
              </w:rPr>
            </w:pPr>
            <w:r>
              <w:rPr>
                <w:rFonts w:ascii="Sylfaen" w:hAnsi="Sylfaen" w:cs="Sylfaen"/>
                <w:b/>
                <w:bCs/>
                <w:color w:val="000000"/>
              </w:rPr>
              <w:t>7.</w:t>
            </w:r>
          </w:p>
        </w:tc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B0" w:rsidRDefault="00BA39B0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 xml:space="preserve">  მიღებულ და გასაგზავნ ვაგონებზე და კონტეინერებზე შესაბამისი დოკუმენტაციის გაფორმება;</w:t>
            </w:r>
          </w:p>
        </w:tc>
      </w:tr>
      <w:tr w:rsidR="00BA39B0" w:rsidTr="00BA39B0">
        <w:trPr>
          <w:trHeight w:val="68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B0" w:rsidRDefault="00BA39B0">
            <w:pPr>
              <w:spacing w:after="0"/>
              <w:ind w:left="360"/>
              <w:rPr>
                <w:rFonts w:ascii="Sylfaen" w:hAnsi="Sylfaen" w:cs="Sylfaen"/>
                <w:b/>
                <w:bCs/>
                <w:color w:val="000000"/>
              </w:rPr>
            </w:pPr>
            <w:r>
              <w:rPr>
                <w:rFonts w:ascii="Sylfaen" w:hAnsi="Sylfaen" w:cs="Sylfaen"/>
                <w:b/>
                <w:bCs/>
                <w:color w:val="000000"/>
              </w:rPr>
              <w:t>8.</w:t>
            </w:r>
          </w:p>
          <w:p w:rsidR="00BA39B0" w:rsidRDefault="00BA39B0">
            <w:pPr>
              <w:spacing w:after="0"/>
              <w:ind w:left="360"/>
              <w:rPr>
                <w:rFonts w:ascii="Sylfaen" w:hAnsi="Sylfaen" w:cs="Sylfaen"/>
                <w:b/>
                <w:bCs/>
                <w:color w:val="000000"/>
                <w:lang w:val="ka-GE"/>
              </w:rPr>
            </w:pPr>
          </w:p>
        </w:tc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B0" w:rsidRDefault="00BA39B0">
            <w:pPr>
              <w:spacing w:after="0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ახდენს მატარებლების, ვაგონებისა და კონტეინერების დროულ და ხარისხიან კომერციულ დათვალიერებას;</w:t>
            </w:r>
          </w:p>
        </w:tc>
      </w:tr>
      <w:tr w:rsidR="00BA39B0" w:rsidTr="00BA39B0">
        <w:trPr>
          <w:trHeight w:val="35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B0" w:rsidRDefault="00BA39B0">
            <w:pPr>
              <w:spacing w:after="0"/>
              <w:ind w:left="360"/>
              <w:rPr>
                <w:rFonts w:ascii="Sylfaen" w:hAnsi="Sylfaen" w:cs="Sylfaen"/>
                <w:b/>
                <w:bCs/>
                <w:color w:val="000000"/>
              </w:rPr>
            </w:pPr>
            <w:r>
              <w:rPr>
                <w:rFonts w:ascii="Sylfaen" w:hAnsi="Sylfaen" w:cs="Sylfaen"/>
                <w:b/>
                <w:bCs/>
                <w:color w:val="000000"/>
              </w:rPr>
              <w:t>9.</w:t>
            </w:r>
          </w:p>
        </w:tc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B0" w:rsidRDefault="00BA39B0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ღებულობს და აგზავნის გადასაზიდ ტვირთებს;</w:t>
            </w:r>
          </w:p>
        </w:tc>
      </w:tr>
      <w:tr w:rsidR="00BA39B0" w:rsidTr="00BA39B0">
        <w:trPr>
          <w:trHeight w:val="35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B0" w:rsidRDefault="00BA39B0">
            <w:pPr>
              <w:spacing w:after="0"/>
              <w:ind w:left="360"/>
              <w:rPr>
                <w:rFonts w:ascii="Sylfaen" w:hAnsi="Sylfaen" w:cs="Sylfaen"/>
                <w:b/>
                <w:bCs/>
                <w:color w:val="000000"/>
              </w:rPr>
            </w:pPr>
            <w:r>
              <w:rPr>
                <w:rFonts w:ascii="Sylfaen" w:hAnsi="Sylfaen" w:cs="Sylfaen"/>
                <w:b/>
                <w:bCs/>
                <w:color w:val="000000"/>
              </w:rPr>
              <w:t>10</w:t>
            </w:r>
          </w:p>
        </w:tc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B0" w:rsidRDefault="00BA39B0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ახდენს ტვირთების აწონვასა და გადაწონას;</w:t>
            </w:r>
          </w:p>
        </w:tc>
      </w:tr>
      <w:tr w:rsidR="00BA39B0" w:rsidTr="00BA39B0">
        <w:trPr>
          <w:trHeight w:val="26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B0" w:rsidRDefault="00BA39B0">
            <w:pPr>
              <w:spacing w:after="0"/>
              <w:ind w:left="360"/>
              <w:rPr>
                <w:rFonts w:ascii="Sylfaen" w:hAnsi="Sylfaen" w:cs="Sylfaen"/>
                <w:b/>
                <w:bCs/>
                <w:color w:val="000000"/>
              </w:rPr>
            </w:pPr>
            <w:r>
              <w:rPr>
                <w:rFonts w:ascii="Sylfaen" w:hAnsi="Sylfaen" w:cs="Sylfaen"/>
                <w:b/>
                <w:bCs/>
                <w:color w:val="000000"/>
              </w:rPr>
              <w:t>11.</w:t>
            </w:r>
          </w:p>
        </w:tc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B0" w:rsidRDefault="00BA39B0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აკონტროლებს ტვირთების დატვირთვას, გადმოტვირთვასა და დახარისხებას;</w:t>
            </w:r>
          </w:p>
        </w:tc>
      </w:tr>
      <w:tr w:rsidR="00BA39B0" w:rsidTr="00BA39B0">
        <w:trPr>
          <w:trHeight w:val="36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B0" w:rsidRDefault="00BA39B0">
            <w:pPr>
              <w:spacing w:after="0"/>
              <w:ind w:left="360"/>
              <w:rPr>
                <w:rFonts w:ascii="Sylfaen" w:hAnsi="Sylfaen" w:cs="Sylfaen"/>
                <w:b/>
                <w:bCs/>
                <w:color w:val="000000"/>
              </w:rPr>
            </w:pPr>
            <w:r>
              <w:rPr>
                <w:rFonts w:ascii="Sylfaen" w:hAnsi="Sylfaen" w:cs="Sylfaen"/>
                <w:b/>
                <w:bCs/>
                <w:color w:val="000000"/>
              </w:rPr>
              <w:t>12.</w:t>
            </w:r>
          </w:p>
        </w:tc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B0" w:rsidRDefault="00BA39B0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 xml:space="preserve">  იღებს და გასცემს ტვირთებს;</w:t>
            </w:r>
          </w:p>
        </w:tc>
      </w:tr>
      <w:tr w:rsidR="00BA39B0" w:rsidTr="00BA39B0">
        <w:trPr>
          <w:trHeight w:val="62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B0" w:rsidRDefault="00BA39B0">
            <w:pPr>
              <w:spacing w:after="0"/>
              <w:ind w:left="360"/>
              <w:rPr>
                <w:rFonts w:ascii="Sylfaen" w:hAnsi="Sylfaen" w:cs="Sylfaen"/>
                <w:b/>
                <w:bCs/>
                <w:color w:val="000000"/>
              </w:rPr>
            </w:pPr>
            <w:r>
              <w:rPr>
                <w:rFonts w:ascii="Sylfaen" w:hAnsi="Sylfaen" w:cs="Sylfaen"/>
                <w:b/>
                <w:bCs/>
                <w:color w:val="000000"/>
              </w:rPr>
              <w:t>13.</w:t>
            </w:r>
          </w:p>
        </w:tc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B0" w:rsidRDefault="00BA39B0">
            <w:pPr>
              <w:spacing w:after="0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აფორმებს სააღრიცხვო წიგნებს, სავაგონო ფურცლებს და ტვირთის მიღება-ჩაბარების სამახსოვროებს;</w:t>
            </w:r>
          </w:p>
        </w:tc>
      </w:tr>
      <w:tr w:rsidR="00BA39B0" w:rsidTr="00BA39B0">
        <w:trPr>
          <w:trHeight w:val="377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B0" w:rsidRDefault="00BA39B0">
            <w:pPr>
              <w:spacing w:after="0"/>
              <w:ind w:left="360"/>
              <w:rPr>
                <w:rFonts w:ascii="Sylfaen" w:hAnsi="Sylfaen" w:cs="Sylfaen"/>
                <w:b/>
                <w:bCs/>
                <w:color w:val="000000"/>
              </w:rPr>
            </w:pPr>
            <w:r>
              <w:rPr>
                <w:rFonts w:ascii="Sylfaen" w:hAnsi="Sylfaen" w:cs="Sylfaen"/>
                <w:b/>
                <w:bCs/>
                <w:color w:val="000000"/>
              </w:rPr>
              <w:t>14.</w:t>
            </w:r>
          </w:p>
        </w:tc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B0" w:rsidRDefault="00BA39B0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 xml:space="preserve">  ახდენს სატვირთო საქმიანობის აღიცხვას ერთიან ელექტრონულ სისტემაში;</w:t>
            </w:r>
          </w:p>
        </w:tc>
      </w:tr>
      <w:tr w:rsidR="00BA39B0" w:rsidTr="00BA39B0">
        <w:trPr>
          <w:trHeight w:val="55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B0" w:rsidRDefault="00BA39B0">
            <w:pPr>
              <w:spacing w:after="0"/>
              <w:ind w:left="360"/>
              <w:rPr>
                <w:rFonts w:ascii="Sylfaen" w:hAnsi="Sylfaen" w:cs="Sylfaen"/>
                <w:b/>
                <w:bCs/>
                <w:color w:val="000000"/>
              </w:rPr>
            </w:pPr>
            <w:r>
              <w:rPr>
                <w:rFonts w:ascii="Sylfaen" w:hAnsi="Sylfaen" w:cs="Sylfaen"/>
                <w:b/>
                <w:bCs/>
                <w:color w:val="000000"/>
              </w:rPr>
              <w:t>15.</w:t>
            </w:r>
          </w:p>
        </w:tc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B0" w:rsidRDefault="00BA39B0">
            <w:pPr>
              <w:spacing w:after="0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 xml:space="preserve">  ტექნიკური მდგომარეობის დასადგენად ახდენს ვაგონების წარდგენას სავაგონო დეპარტამენტის მუშაკებზე „ვუ-14მ“ ფორმის წიგნში ჩაწერით;</w:t>
            </w:r>
          </w:p>
        </w:tc>
      </w:tr>
      <w:tr w:rsidR="00BA39B0" w:rsidTr="00BA39B0">
        <w:trPr>
          <w:trHeight w:val="55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B0" w:rsidRDefault="00BA39B0">
            <w:pPr>
              <w:spacing w:after="0"/>
              <w:ind w:left="360"/>
              <w:rPr>
                <w:rFonts w:ascii="Sylfaen" w:hAnsi="Sylfaen" w:cs="Sylfaen"/>
                <w:b/>
                <w:bCs/>
                <w:color w:val="000000"/>
              </w:rPr>
            </w:pPr>
            <w:r>
              <w:rPr>
                <w:rFonts w:ascii="Sylfaen" w:hAnsi="Sylfaen" w:cs="Sylfaen"/>
                <w:b/>
                <w:bCs/>
                <w:color w:val="000000"/>
              </w:rPr>
              <w:t>16.</w:t>
            </w:r>
          </w:p>
        </w:tc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B0" w:rsidRDefault="00BA39B0">
            <w:pPr>
              <w:spacing w:after="0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 xml:space="preserve">  ადგილობრივი პირობებიდან გამომდინარე, სატვირთო ვაგონების აღრიცხვისა და ცარიელი სატვირთო ვაგონების ვარგისიანობის, აგრეთვე რკინიგზის ერთიან ელექტრონულ სისტემაში სხვა საჭირო ინფორმაციების შეტანა;</w:t>
            </w:r>
          </w:p>
        </w:tc>
      </w:tr>
      <w:tr w:rsidR="00BA39B0" w:rsidTr="00BA39B0">
        <w:trPr>
          <w:trHeight w:val="287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B0" w:rsidRDefault="00BA39B0">
            <w:pPr>
              <w:spacing w:after="0"/>
              <w:ind w:left="360"/>
              <w:rPr>
                <w:rFonts w:ascii="Sylfaen" w:hAnsi="Sylfaen" w:cs="Sylfaen"/>
                <w:b/>
                <w:bCs/>
                <w:color w:val="000000"/>
              </w:rPr>
            </w:pPr>
            <w:r>
              <w:rPr>
                <w:rFonts w:ascii="Sylfaen" w:hAnsi="Sylfaen" w:cs="Sylfaen"/>
                <w:b/>
                <w:bCs/>
                <w:color w:val="000000"/>
              </w:rPr>
              <w:t>17.</w:t>
            </w:r>
          </w:p>
        </w:tc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B0" w:rsidRDefault="00BA39B0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უზრუნველყოფს ცვლის გადაბარებას დადგენილი წესების მიხედვით;</w:t>
            </w:r>
          </w:p>
        </w:tc>
      </w:tr>
      <w:tr w:rsidR="00BA39B0" w:rsidTr="00BA39B0">
        <w:trPr>
          <w:trHeight w:val="45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B0" w:rsidRDefault="00BA39B0">
            <w:pPr>
              <w:spacing w:after="0"/>
              <w:ind w:left="360"/>
              <w:rPr>
                <w:rFonts w:ascii="Sylfaen" w:hAnsi="Sylfaen" w:cs="Sylfaen"/>
                <w:b/>
                <w:bCs/>
                <w:color w:val="000000"/>
              </w:rPr>
            </w:pPr>
            <w:r>
              <w:rPr>
                <w:rFonts w:ascii="Sylfaen" w:hAnsi="Sylfaen" w:cs="Sylfaen"/>
                <w:b/>
                <w:bCs/>
                <w:color w:val="000000"/>
              </w:rPr>
              <w:t>18.</w:t>
            </w:r>
          </w:p>
        </w:tc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B0" w:rsidRDefault="00BA39B0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აწარმოებს ტვირთების მიღება-ჩაბარებას  ტვირთმფლობელთან;</w:t>
            </w:r>
          </w:p>
        </w:tc>
      </w:tr>
      <w:tr w:rsidR="00BA39B0" w:rsidTr="00BA39B0">
        <w:trPr>
          <w:trHeight w:val="55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B0" w:rsidRDefault="00BA39B0">
            <w:pPr>
              <w:spacing w:after="0"/>
              <w:ind w:left="360"/>
              <w:rPr>
                <w:rFonts w:ascii="Sylfaen" w:hAnsi="Sylfaen" w:cs="Sylfaen"/>
                <w:b/>
                <w:bCs/>
                <w:color w:val="000000"/>
              </w:rPr>
            </w:pPr>
            <w:r>
              <w:rPr>
                <w:rFonts w:ascii="Sylfaen" w:hAnsi="Sylfaen" w:cs="Sylfaen"/>
                <w:b/>
                <w:bCs/>
                <w:color w:val="000000"/>
              </w:rPr>
              <w:t>19.</w:t>
            </w:r>
          </w:p>
        </w:tc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B0" w:rsidRDefault="00BA39B0">
            <w:pPr>
              <w:spacing w:after="0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 xml:space="preserve">  აწარმოებს დაცვის ქვეშ მყოფი ტვირთების მიღება-ჩაბარებას დაცვის პოლიციის დეპარტამენტის წარმომადგენელთან საქართველოს რკინიგზაზე მოქმედი ხელშეკრულების საფუძველზე;</w:t>
            </w:r>
          </w:p>
        </w:tc>
      </w:tr>
      <w:tr w:rsidR="00BA39B0" w:rsidTr="00BA39B0">
        <w:trPr>
          <w:trHeight w:val="27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B0" w:rsidRDefault="00BA39B0">
            <w:pPr>
              <w:spacing w:after="0"/>
              <w:ind w:left="360"/>
              <w:rPr>
                <w:rFonts w:ascii="Sylfaen" w:hAnsi="Sylfaen" w:cs="Sylfaen"/>
                <w:b/>
                <w:bCs/>
                <w:color w:val="000000"/>
              </w:rPr>
            </w:pPr>
            <w:r>
              <w:rPr>
                <w:rFonts w:ascii="Sylfaen" w:hAnsi="Sylfaen" w:cs="Sylfaen"/>
                <w:b/>
                <w:bCs/>
                <w:color w:val="000000"/>
              </w:rPr>
              <w:t>20.</w:t>
            </w:r>
          </w:p>
        </w:tc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B0" w:rsidRDefault="00BA39B0">
            <w:pPr>
              <w:spacing w:after="0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შრომის  დაცვისა და უსაფრთხოების  ტექნიკის  წესების დაცვა</w:t>
            </w:r>
            <w:r>
              <w:rPr>
                <w:rFonts w:ascii="Sylfaen" w:hAnsi="Sylfaen" w:cs="Sylfaen"/>
              </w:rPr>
              <w:t>;</w:t>
            </w:r>
          </w:p>
        </w:tc>
      </w:tr>
      <w:tr w:rsidR="00BA39B0" w:rsidTr="00BA39B0">
        <w:trPr>
          <w:trHeight w:val="55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B0" w:rsidRDefault="00BA39B0">
            <w:pPr>
              <w:spacing w:after="0"/>
              <w:ind w:left="360"/>
              <w:rPr>
                <w:rFonts w:ascii="Sylfaen" w:hAnsi="Sylfaen" w:cs="Sylfaen"/>
                <w:b/>
                <w:bCs/>
                <w:color w:val="000000"/>
              </w:rPr>
            </w:pPr>
            <w:r>
              <w:rPr>
                <w:rFonts w:ascii="Sylfaen" w:hAnsi="Sylfaen" w:cs="Sylfaen"/>
                <w:b/>
                <w:bCs/>
                <w:color w:val="000000"/>
              </w:rPr>
              <w:lastRenderedPageBreak/>
              <w:t>21.</w:t>
            </w:r>
          </w:p>
        </w:tc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B0" w:rsidRDefault="00BA39B0">
            <w:pPr>
              <w:spacing w:after="0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lang w:val="ka-GE"/>
              </w:rPr>
              <w:t xml:space="preserve">შრომითი </w:t>
            </w:r>
            <w:r>
              <w:rPr>
                <w:rFonts w:ascii="Sylfaen" w:hAnsi="Sylfaen" w:cs="Sylfaen"/>
              </w:rPr>
              <w:t xml:space="preserve">  </w:t>
            </w:r>
            <w:r>
              <w:rPr>
                <w:rFonts w:ascii="Sylfaen" w:hAnsi="Sylfaen" w:cs="Sylfaen"/>
                <w:lang w:val="ka-GE"/>
              </w:rPr>
              <w:t>დისციპლინის</w:t>
            </w:r>
            <w:r>
              <w:rPr>
                <w:rFonts w:ascii="Sylfaen" w:hAnsi="Sylfaen" w:cs="Sylfaen"/>
              </w:rPr>
              <w:t xml:space="preserve">  </w:t>
            </w:r>
            <w:r>
              <w:rPr>
                <w:rFonts w:ascii="Sylfaen" w:hAnsi="Sylfaen" w:cs="Sylfaen"/>
                <w:lang w:val="ka-GE"/>
              </w:rPr>
              <w:t xml:space="preserve"> და</w:t>
            </w:r>
            <w:r>
              <w:rPr>
                <w:rFonts w:ascii="Sylfaen" w:hAnsi="Sylfaen" w:cs="Sylfaen"/>
              </w:rPr>
              <w:t xml:space="preserve">  </w:t>
            </w:r>
            <w:r>
              <w:rPr>
                <w:rFonts w:ascii="Sylfaen" w:hAnsi="Sylfaen" w:cs="Sylfaen"/>
                <w:lang w:val="ka-GE"/>
              </w:rPr>
              <w:t xml:space="preserve"> შრომის შინაგანაწესის  დაცვა</w:t>
            </w:r>
            <w:r>
              <w:rPr>
                <w:rFonts w:ascii="Sylfaen" w:hAnsi="Sylfaen" w:cs="Sylfaen"/>
              </w:rPr>
              <w:t>;</w:t>
            </w:r>
          </w:p>
        </w:tc>
      </w:tr>
      <w:tr w:rsidR="00BA39B0" w:rsidTr="00BA39B0">
        <w:trPr>
          <w:trHeight w:val="55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B0" w:rsidRDefault="00BA39B0">
            <w:pPr>
              <w:spacing w:after="0"/>
              <w:ind w:left="360"/>
              <w:rPr>
                <w:rFonts w:ascii="Sylfaen" w:hAnsi="Sylfaen" w:cs="Sylfaen"/>
                <w:b/>
                <w:bCs/>
                <w:color w:val="000000"/>
              </w:rPr>
            </w:pPr>
            <w:r>
              <w:rPr>
                <w:rFonts w:ascii="Sylfaen" w:hAnsi="Sylfaen" w:cs="Sylfaen"/>
                <w:b/>
                <w:bCs/>
                <w:color w:val="000000"/>
              </w:rPr>
              <w:t>22.</w:t>
            </w:r>
          </w:p>
        </w:tc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B0" w:rsidRDefault="00BA39B0">
            <w:pPr>
              <w:spacing w:after="0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 xml:space="preserve"> 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/>
                <w:color w:val="000000"/>
                <w:lang w:val="ka-GE"/>
              </w:rPr>
              <w:t>მატარებელთა მოძრაობასთან დაკავშირებული ინსტრუქციების, სადგურის მუშაობის ტექნოლოგიური პროცესის, სადგურის ტექნიკურ-განმკარგულებელი აქტის, უსაფრთხოების ტექნიკის და საწარმოო სანიტარიის მოთხოვნათა დაცვა;</w:t>
            </w:r>
          </w:p>
        </w:tc>
      </w:tr>
      <w:tr w:rsidR="00BA39B0" w:rsidTr="00BA39B0">
        <w:trPr>
          <w:trHeight w:val="55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B0" w:rsidRDefault="00BA39B0">
            <w:pPr>
              <w:spacing w:after="0"/>
              <w:ind w:left="360"/>
              <w:rPr>
                <w:rFonts w:ascii="Sylfaen" w:hAnsi="Sylfaen" w:cs="Sylfaen"/>
                <w:b/>
                <w:bCs/>
                <w:color w:val="000000"/>
              </w:rPr>
            </w:pPr>
            <w:r>
              <w:rPr>
                <w:rFonts w:ascii="Sylfaen" w:hAnsi="Sylfaen" w:cs="Sylfaen"/>
                <w:b/>
                <w:bCs/>
                <w:color w:val="000000"/>
              </w:rPr>
              <w:t>23.</w:t>
            </w:r>
          </w:p>
        </w:tc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B0" w:rsidRDefault="00BA39B0">
            <w:pPr>
              <w:spacing w:after="0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/>
                <w:lang w:val="pt-BR"/>
              </w:rPr>
              <w:t xml:space="preserve">მოვალეა იხელმძღვანელოს </w:t>
            </w:r>
            <w:r>
              <w:rPr>
                <w:rFonts w:ascii="Sylfaen" w:hAnsi="Sylfaen"/>
                <w:lang w:val="ka-GE"/>
              </w:rPr>
              <w:t>კომპანიის</w:t>
            </w:r>
            <w:r>
              <w:rPr>
                <w:rFonts w:ascii="Sylfaen" w:hAnsi="Sylfaen"/>
                <w:lang w:val="pt-BR"/>
              </w:rPr>
              <w:t xml:space="preserve"> ერთიანი პოლიტიკის პრინციპებით და დაიცვას სამსახურის პროფესიული და მორალურ ზნეობრივი სტანდარტები;</w:t>
            </w:r>
          </w:p>
        </w:tc>
      </w:tr>
      <w:tr w:rsidR="00BA39B0" w:rsidTr="00BA39B0">
        <w:trPr>
          <w:trHeight w:val="55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B0" w:rsidRDefault="00BA39B0">
            <w:pPr>
              <w:spacing w:after="0"/>
              <w:ind w:left="360"/>
              <w:rPr>
                <w:rFonts w:ascii="Sylfaen" w:hAnsi="Sylfaen" w:cs="Sylfaen"/>
                <w:b/>
                <w:bCs/>
                <w:color w:val="000000"/>
              </w:rPr>
            </w:pPr>
            <w:r>
              <w:rPr>
                <w:rFonts w:ascii="Sylfaen" w:hAnsi="Sylfaen" w:cs="Sylfaen"/>
                <w:b/>
                <w:bCs/>
                <w:color w:val="000000"/>
              </w:rPr>
              <w:t>24.</w:t>
            </w:r>
          </w:p>
        </w:tc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B0" w:rsidRDefault="00BA39B0">
            <w:pPr>
              <w:spacing w:after="0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/>
                <w:lang w:val="pt-BR"/>
              </w:rPr>
              <w:t xml:space="preserve">მოვალეა ორგანიზაცია გაუკეთოს  </w:t>
            </w:r>
            <w:r>
              <w:rPr>
                <w:rFonts w:ascii="Sylfaen" w:hAnsi="Sylfaen"/>
                <w:lang w:val="ka-GE"/>
              </w:rPr>
              <w:t>კომპანიის</w:t>
            </w:r>
            <w:r>
              <w:rPr>
                <w:rFonts w:ascii="Sylfaen" w:hAnsi="Sylfaen"/>
                <w:lang w:val="pt-BR"/>
              </w:rPr>
              <w:t xml:space="preserve"> ხელმძღვანელობის მოთხოვნის შესაბამისად  ინფორმაციის მომზადებას და მათ დროულ მიწოდებას;</w:t>
            </w:r>
          </w:p>
        </w:tc>
      </w:tr>
      <w:tr w:rsidR="00BA39B0" w:rsidTr="00BA39B0">
        <w:trPr>
          <w:trHeight w:val="55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B0" w:rsidRDefault="00BA39B0">
            <w:pPr>
              <w:spacing w:after="0"/>
              <w:ind w:left="360"/>
              <w:rPr>
                <w:rFonts w:ascii="Sylfaen" w:hAnsi="Sylfaen" w:cs="Sylfaen"/>
                <w:b/>
                <w:bCs/>
                <w:color w:val="000000"/>
              </w:rPr>
            </w:pPr>
            <w:r>
              <w:rPr>
                <w:rFonts w:ascii="Sylfaen" w:hAnsi="Sylfaen" w:cs="Sylfaen"/>
                <w:b/>
                <w:bCs/>
                <w:color w:val="000000"/>
              </w:rPr>
              <w:t>25.</w:t>
            </w:r>
          </w:p>
        </w:tc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B0" w:rsidRDefault="00BA39B0">
            <w:pPr>
              <w:spacing w:after="0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pt-BR"/>
              </w:rPr>
              <w:t>მოვალეა დაიცვას კონფიდენციალურობა დასაქმებულთა პირად  ინფორმაციებთან დაკავშირებით.</w:t>
            </w:r>
          </w:p>
        </w:tc>
      </w:tr>
    </w:tbl>
    <w:p w:rsidR="00BA39B0" w:rsidRDefault="00BA39B0" w:rsidP="00BA39B0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2</w:t>
      </w:r>
      <w:r>
        <w:rPr>
          <w:rFonts w:ascii="Sylfaen" w:hAnsi="Sylfaen"/>
          <w:b/>
          <w:sz w:val="24"/>
          <w:szCs w:val="24"/>
        </w:rPr>
        <w:t>.</w:t>
      </w:r>
      <w:r>
        <w:rPr>
          <w:rFonts w:ascii="Sylfaen" w:hAnsi="Sylfaen"/>
          <w:b/>
          <w:sz w:val="24"/>
          <w:szCs w:val="24"/>
          <w:lang w:val="ka-GE"/>
        </w:rPr>
        <w:t>საკვალიფიკაციო მოთხოვნები:</w:t>
      </w:r>
    </w:p>
    <w:tbl>
      <w:tblPr>
        <w:tblpPr w:leftFromText="180" w:rightFromText="180" w:bottomFromText="200" w:vertAnchor="text" w:horzAnchor="page" w:tblpX="739" w:tblpY="257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2894"/>
        <w:gridCol w:w="6144"/>
      </w:tblGrid>
      <w:tr w:rsidR="00BA39B0" w:rsidTr="00BA39B0">
        <w:trPr>
          <w:trHeight w:val="4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B0" w:rsidRDefault="00BA39B0" w:rsidP="00764DDA">
            <w:pPr>
              <w:numPr>
                <w:ilvl w:val="0"/>
                <w:numId w:val="2"/>
              </w:numPr>
              <w:spacing w:after="0" w:line="240" w:lineRule="auto"/>
              <w:rPr>
                <w:rFonts w:ascii="AcadNusx" w:hAnsi="AcadNusx"/>
                <w:color w:val="00000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B0" w:rsidRDefault="00BA39B0">
            <w:pPr>
              <w:spacing w:after="0"/>
              <w:rPr>
                <w:rFonts w:ascii="AcadNusx" w:hAnsi="AcadNusx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განათლება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B0" w:rsidRDefault="00BA39B0">
            <w:pPr>
              <w:spacing w:after="0"/>
              <w:rPr>
                <w:rFonts w:ascii="Sylfaen" w:hAnsi="Sylfaen" w:cs="Arial"/>
                <w:color w:val="000000"/>
              </w:rPr>
            </w:pPr>
            <w:r>
              <w:rPr>
                <w:rFonts w:ascii="Sylfaen" w:hAnsi="Sylfaen" w:cs="Arial"/>
                <w:color w:val="000000"/>
              </w:rPr>
              <w:t>საშუალო</w:t>
            </w:r>
          </w:p>
        </w:tc>
      </w:tr>
      <w:tr w:rsidR="00BA39B0" w:rsidTr="00BA39B0">
        <w:trPr>
          <w:trHeight w:val="3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B0" w:rsidRDefault="00BA39B0" w:rsidP="00764DDA">
            <w:pPr>
              <w:numPr>
                <w:ilvl w:val="0"/>
                <w:numId w:val="2"/>
              </w:numPr>
              <w:spacing w:after="0" w:line="240" w:lineRule="auto"/>
              <w:rPr>
                <w:rFonts w:ascii="AcadNusx" w:hAnsi="AcadNusx"/>
                <w:color w:val="00000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B0" w:rsidRDefault="00BA39B0">
            <w:pPr>
              <w:spacing w:after="0"/>
              <w:rPr>
                <w:rFonts w:ascii="AcadNusx" w:hAnsi="AcadNusx"/>
                <w:color w:val="000000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სამუშაო</w:t>
            </w:r>
            <w:r>
              <w:rPr>
                <w:rFonts w:ascii="Sylfaen" w:hAnsi="Sylfaen"/>
                <w:color w:val="000000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გამოცდილება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9B0" w:rsidRDefault="00BA39B0">
            <w:pPr>
              <w:spacing w:after="0"/>
              <w:rPr>
                <w:rFonts w:ascii="Sylfaen" w:hAnsi="Sylfaen"/>
                <w:color w:val="000000"/>
              </w:rPr>
            </w:pPr>
          </w:p>
        </w:tc>
      </w:tr>
      <w:tr w:rsidR="00BA39B0" w:rsidTr="00BA39B0">
        <w:trPr>
          <w:trHeight w:val="12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B0" w:rsidRDefault="00BA39B0" w:rsidP="00764DDA">
            <w:pPr>
              <w:numPr>
                <w:ilvl w:val="0"/>
                <w:numId w:val="2"/>
              </w:numPr>
              <w:spacing w:after="0" w:line="240" w:lineRule="auto"/>
              <w:rPr>
                <w:rFonts w:ascii="AcadNusx" w:hAnsi="AcadNusx"/>
                <w:color w:val="00000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B0" w:rsidRDefault="00BA39B0">
            <w:pPr>
              <w:spacing w:after="0"/>
              <w:rPr>
                <w:rFonts w:ascii="AcadNusx" w:hAnsi="AcadNusx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აუცილებელი</w:t>
            </w:r>
            <w:r>
              <w:rPr>
                <w:rFonts w:ascii="Sylfaen" w:hAnsi="Sylfaen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უნარ</w:t>
            </w:r>
            <w:r>
              <w:rPr>
                <w:rFonts w:ascii="Sylfaen" w:hAnsi="Sylfaen" w:cs="AcadNusx"/>
                <w:color w:val="000000"/>
              </w:rPr>
              <w:t>-</w:t>
            </w:r>
            <w:r>
              <w:rPr>
                <w:rFonts w:ascii="Sylfaen" w:hAnsi="Sylfaen" w:cs="Sylfaen"/>
                <w:color w:val="000000"/>
              </w:rPr>
              <w:t>ჩვევები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B0" w:rsidRDefault="00BA39B0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</w:rPr>
              <w:t xml:space="preserve">დაკვირვებულობა, სიფრთხილე </w:t>
            </w:r>
            <w:r>
              <w:rPr>
                <w:rFonts w:ascii="Sylfaen" w:hAnsi="Sylfaen"/>
                <w:color w:val="000000"/>
                <w:lang w:val="ka-GE"/>
              </w:rPr>
              <w:t>,ფიზიკური შესაძლებლობა,ოპერატიულობა,პრინციპულობა.გუნდური მუშაობის,სჭრაფი აზრროვნების და გადაწყვეთილების მიღების უნარი</w:t>
            </w:r>
          </w:p>
        </w:tc>
      </w:tr>
      <w:tr w:rsidR="00BA39B0" w:rsidTr="00BA39B0">
        <w:trPr>
          <w:trHeight w:val="4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B0" w:rsidRDefault="00BA39B0" w:rsidP="00764DDA">
            <w:pPr>
              <w:numPr>
                <w:ilvl w:val="0"/>
                <w:numId w:val="2"/>
              </w:numPr>
              <w:spacing w:after="0" w:line="240" w:lineRule="auto"/>
              <w:rPr>
                <w:rFonts w:ascii="AcadNusx" w:hAnsi="AcadNusx"/>
                <w:color w:val="00000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B0" w:rsidRDefault="00BA39B0">
            <w:pPr>
              <w:spacing w:after="0"/>
              <w:rPr>
                <w:rFonts w:ascii="AcadNusx" w:hAnsi="AcadNusx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აუცილებელი</w:t>
            </w:r>
            <w:r>
              <w:rPr>
                <w:rFonts w:ascii="Sylfaen" w:hAnsi="Sylfaen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ცოდნა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B0" w:rsidRDefault="00BA39B0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 w:cs="Arial"/>
                <w:color w:val="000000"/>
                <w:lang w:val="pt-BR"/>
              </w:rPr>
              <w:t>რკინიგზით ტვირთის გადაზიდვის წესები</w:t>
            </w:r>
            <w:r>
              <w:rPr>
                <w:rFonts w:ascii="Sylfaen" w:hAnsi="Sylfaen" w:cs="Arial"/>
                <w:color w:val="000000"/>
                <w:lang w:val="ka-GE"/>
              </w:rPr>
              <w:t>,</w:t>
            </w:r>
            <w:r>
              <w:rPr>
                <w:rFonts w:ascii="Sylfaen" w:hAnsi="Sylfaen" w:cs="Arial"/>
                <w:color w:val="000000"/>
                <w:lang w:val="pt-BR"/>
              </w:rPr>
              <w:t xml:space="preserve"> საქართველოს სარკინიგზო კოდექსი</w:t>
            </w:r>
            <w:r>
              <w:rPr>
                <w:rFonts w:ascii="Sylfaen" w:hAnsi="Sylfaen" w:cs="Arial"/>
                <w:color w:val="000000"/>
                <w:lang w:val="ka-GE"/>
              </w:rPr>
              <w:t>,</w:t>
            </w:r>
            <w:r>
              <w:rPr>
                <w:rFonts w:ascii="Sylfaen" w:hAnsi="Sylfaen" w:cs="Arial"/>
                <w:color w:val="000000"/>
                <w:lang w:val="pt-BR"/>
              </w:rPr>
              <w:t xml:space="preserve"> ტვირთის გადაზიდვის სფეროში სადგურის კომერციული ანგარიშების წარმოების</w:t>
            </w:r>
            <w:r>
              <w:rPr>
                <w:rFonts w:ascii="Sylfaen" w:hAnsi="Sylfaen" w:cs="Arial"/>
                <w:color w:val="000000"/>
                <w:lang w:val="ka-GE"/>
              </w:rPr>
              <w:t xml:space="preserve"> </w:t>
            </w:r>
            <w:r>
              <w:rPr>
                <w:rFonts w:ascii="Sylfaen" w:hAnsi="Sylfaen" w:cs="Arial"/>
                <w:color w:val="000000"/>
                <w:lang w:val="pt-BR"/>
              </w:rPr>
              <w:t>ინსტრუქცია</w:t>
            </w:r>
            <w:r>
              <w:rPr>
                <w:rFonts w:ascii="Sylfaen" w:hAnsi="Sylfaen" w:cs="Arial"/>
                <w:color w:val="000000"/>
                <w:lang w:val="ka-GE"/>
              </w:rPr>
              <w:t>,</w:t>
            </w:r>
            <w:r>
              <w:rPr>
                <w:rFonts w:ascii="Sylfaen" w:hAnsi="Sylfaen" w:cs="Arial"/>
                <w:color w:val="000000"/>
                <w:lang w:val="pt-BR"/>
              </w:rPr>
              <w:t xml:space="preserve"> ტვირთის დატვირთვისა და დამაგრების ტექნიკური პირობები</w:t>
            </w:r>
            <w:r>
              <w:rPr>
                <w:rFonts w:ascii="Sylfaen" w:hAnsi="Sylfaen" w:cs="Arial"/>
                <w:color w:val="000000"/>
                <w:lang w:val="ka-GE"/>
              </w:rPr>
              <w:t>,  რკინიგზით საფრთხეშემცველი ტვირთების გადაზიდვის წესები, თხევადი ტვირთების ვაგონცისტერნებით და ნავობბიტუმების ბუნკერული ტიპის ვაგონებით გადაზიდვის წესები; არაგაბარიტული და მძიმეწონიანი ტვირთების გადაზიდვის ინსტრუქცია, ტვირთის მიმღებ-ჩამბარებელთა შრომის დაცვის ინსტრუქცია (№ნგ-მ/5),</w:t>
            </w:r>
            <w:r>
              <w:rPr>
                <w:rFonts w:ascii="Sylfaen" w:hAnsi="Sylfaen" w:cs="Arial"/>
                <w:color w:val="000000"/>
                <w:lang w:val="pt-BR"/>
              </w:rPr>
              <w:t xml:space="preserve"> საქართველოს სარკინიგზო ტრანსპორტის ტექნიკური ექსპლუატაციის წესები</w:t>
            </w:r>
            <w:r>
              <w:rPr>
                <w:rFonts w:ascii="Sylfaen" w:hAnsi="Sylfaen" w:cs="Arial"/>
                <w:color w:val="000000"/>
                <w:lang w:val="ka-GE"/>
              </w:rPr>
              <w:t>,</w:t>
            </w:r>
            <w:r>
              <w:rPr>
                <w:rFonts w:ascii="Sylfaen" w:hAnsi="Sylfaen" w:cs="Arial"/>
                <w:color w:val="000000"/>
                <w:lang w:val="pt-BR"/>
              </w:rPr>
              <w:t xml:space="preserve"> საქართველოს სარკინიგზო ტრანსპორტზე მატარებლების მოძრაობისა და სამანევრო მუშაობის ინსტრუქცია</w:t>
            </w:r>
            <w:r>
              <w:rPr>
                <w:rFonts w:ascii="Sylfaen" w:hAnsi="Sylfaen" w:cs="Arial"/>
                <w:color w:val="000000"/>
                <w:lang w:val="ka-GE"/>
              </w:rPr>
              <w:t>,</w:t>
            </w:r>
            <w:r>
              <w:rPr>
                <w:rFonts w:ascii="Sylfaen" w:hAnsi="Sylfaen" w:cs="Arial"/>
                <w:color w:val="000000"/>
                <w:lang w:val="pt-BR"/>
              </w:rPr>
              <w:t xml:space="preserve"> საქართველოს სარკინიგზო ტრანსპორტზე სიგნალიზაციის ინსტრუქცია</w:t>
            </w:r>
            <w:r>
              <w:rPr>
                <w:rFonts w:ascii="Sylfaen" w:hAnsi="Sylfaen" w:cs="Arial"/>
                <w:color w:val="000000"/>
                <w:lang w:val="ka-GE"/>
              </w:rPr>
              <w:t>,</w:t>
            </w:r>
            <w:r>
              <w:rPr>
                <w:rFonts w:ascii="Sylfaen" w:hAnsi="Sylfaen" w:cs="Arial"/>
                <w:color w:val="000000"/>
                <w:lang w:val="pt-BR"/>
              </w:rPr>
              <w:t xml:space="preserve">                                </w:t>
            </w:r>
            <w:r>
              <w:rPr>
                <w:rFonts w:ascii="Sylfaen" w:hAnsi="Sylfaen" w:cs="Arial"/>
                <w:color w:val="000000"/>
                <w:lang w:val="ka-GE"/>
              </w:rPr>
              <w:t>მატარებლის შემდგენელისა და მისი თანაშემწის თანამდებობრივი ინსტრუქცია, სადგურის ტექნიკურ-განმკარგულებელი აქტი, სადგურის მუშაობის ტექნოლოგიური პროცესი,</w:t>
            </w:r>
            <w:r>
              <w:rPr>
                <w:rFonts w:ascii="Sylfaen" w:hAnsi="Sylfaen" w:cs="Arial"/>
                <w:color w:val="000000"/>
                <w:lang w:val="pt-BR"/>
              </w:rPr>
              <w:t xml:space="preserve"> საქ. რკინიგზის ხელმძღვანელობის ბრძანებები და მითითებები</w:t>
            </w:r>
          </w:p>
        </w:tc>
      </w:tr>
      <w:tr w:rsidR="00BA39B0" w:rsidTr="00BA39B0">
        <w:trPr>
          <w:trHeight w:val="3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B0" w:rsidRDefault="00BA39B0" w:rsidP="00764DDA">
            <w:pPr>
              <w:numPr>
                <w:ilvl w:val="0"/>
                <w:numId w:val="2"/>
              </w:numPr>
              <w:spacing w:after="0" w:line="240" w:lineRule="auto"/>
              <w:rPr>
                <w:rFonts w:ascii="AcadNusx" w:hAnsi="AcadNusx"/>
                <w:color w:val="00000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B0" w:rsidRDefault="00BA39B0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</w:rPr>
              <w:t>სხვა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B0" w:rsidRDefault="00BA39B0">
            <w:pPr>
              <w:spacing w:after="0"/>
              <w:rPr>
                <w:rFonts w:ascii="AcadNusx" w:hAnsi="AcadNusx"/>
                <w:color w:val="000000"/>
              </w:rPr>
            </w:pPr>
            <w:r>
              <w:rPr>
                <w:rFonts w:ascii="Sylfaen" w:hAnsi="Sylfaen"/>
              </w:rPr>
              <w:t>ფიზიკური ამტანობა</w:t>
            </w:r>
          </w:p>
        </w:tc>
      </w:tr>
    </w:tbl>
    <w:p w:rsidR="00BA39B0" w:rsidRDefault="00BA39B0" w:rsidP="00BA39B0">
      <w:pPr>
        <w:rPr>
          <w:rFonts w:ascii="Sylfaen" w:hAnsi="Sylfaen"/>
          <w:b/>
          <w:sz w:val="24"/>
          <w:szCs w:val="24"/>
        </w:rPr>
      </w:pPr>
    </w:p>
    <w:p w:rsidR="00BA39B0" w:rsidRDefault="00BA39B0" w:rsidP="00BA39B0">
      <w:pPr>
        <w:rPr>
          <w:rFonts w:ascii="Sylfaen" w:hAnsi="Sylfaen"/>
          <w:b/>
          <w:sz w:val="24"/>
          <w:szCs w:val="24"/>
        </w:rPr>
      </w:pPr>
    </w:p>
    <w:p w:rsidR="00BA39B0" w:rsidRDefault="00BA39B0" w:rsidP="00BA39B0">
      <w:pPr>
        <w:rPr>
          <w:rFonts w:ascii="Sylfaen" w:hAnsi="Sylfaen"/>
          <w:b/>
          <w:sz w:val="24"/>
          <w:szCs w:val="24"/>
        </w:rPr>
      </w:pPr>
      <w:bookmarkStart w:id="0" w:name="_GoBack"/>
      <w:bookmarkEnd w:id="0"/>
    </w:p>
    <w:p w:rsidR="00BA39B0" w:rsidRDefault="00BA39B0" w:rsidP="00BA39B0">
      <w:pPr>
        <w:rPr>
          <w:rFonts w:ascii="Sylfaen" w:hAnsi="Sylfaen"/>
          <w:b/>
          <w:sz w:val="24"/>
          <w:szCs w:val="24"/>
        </w:rPr>
      </w:pPr>
    </w:p>
    <w:p w:rsidR="00BA39B0" w:rsidRDefault="00BA39B0" w:rsidP="00BA39B0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3.</w:t>
      </w:r>
      <w:r>
        <w:rPr>
          <w:rFonts w:ascii="Sylfaen" w:hAnsi="Sylfaen"/>
          <w:b/>
          <w:sz w:val="24"/>
          <w:szCs w:val="24"/>
          <w:lang w:val="ka-GE"/>
        </w:rPr>
        <w:t xml:space="preserve">სამუშაო რეჟიმი:  </w:t>
      </w:r>
      <w:r>
        <w:rPr>
          <w:rFonts w:ascii="Sylfaen" w:hAnsi="Sylfaen"/>
          <w:sz w:val="24"/>
          <w:szCs w:val="24"/>
          <w:lang w:val="ka-GE"/>
        </w:rPr>
        <w:t>ცვლიანი;</w:t>
      </w:r>
    </w:p>
    <w:p w:rsidR="005974F1" w:rsidRDefault="005974F1"/>
    <w:sectPr w:rsidR="005974F1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F13D3"/>
    <w:multiLevelType w:val="hybridMultilevel"/>
    <w:tmpl w:val="935A8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8F6F18"/>
    <w:multiLevelType w:val="hybridMultilevel"/>
    <w:tmpl w:val="B3C642CE"/>
    <w:lvl w:ilvl="0" w:tplc="4E101108">
      <w:start w:val="1"/>
      <w:numFmt w:val="decimal"/>
      <w:lvlText w:val="%1."/>
      <w:lvlJc w:val="left"/>
      <w:pPr>
        <w:tabs>
          <w:tab w:val="num" w:pos="720"/>
        </w:tabs>
        <w:ind w:left="432" w:hanging="432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E8F"/>
    <w:rsid w:val="000E0E8F"/>
    <w:rsid w:val="005974F1"/>
    <w:rsid w:val="00BA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07F35C-7A70-4F2D-97A4-D48E23EC8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9B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3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556</Words>
  <Characters>3173</Characters>
  <Application>Microsoft Office Word</Application>
  <DocSecurity>0</DocSecurity>
  <Lines>26</Lines>
  <Paragraphs>7</Paragraphs>
  <ScaleCrop>false</ScaleCrop>
  <Company>Railway</Company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Godabrelidze</dc:creator>
  <cp:keywords/>
  <dc:description/>
  <cp:lastModifiedBy>Marika Godabrelidze</cp:lastModifiedBy>
  <cp:revision>3</cp:revision>
  <dcterms:created xsi:type="dcterms:W3CDTF">2022-10-25T11:57:00Z</dcterms:created>
  <dcterms:modified xsi:type="dcterms:W3CDTF">2022-10-25T11:58:00Z</dcterms:modified>
</cp:coreProperties>
</file>