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F5823" w14:textId="59835442" w:rsidR="00CB3363" w:rsidRPr="00952299" w:rsidRDefault="00CB3363" w:rsidP="00952299">
      <w:pPr>
        <w:tabs>
          <w:tab w:val="left" w:pos="708"/>
          <w:tab w:val="left" w:pos="1416"/>
          <w:tab w:val="left" w:pos="2124"/>
          <w:tab w:val="left" w:pos="3345"/>
        </w:tabs>
        <w:jc w:val="center"/>
        <w:rPr>
          <w:rFonts w:ascii="Sylfaen" w:hAnsi="Sylfaen"/>
          <w:sz w:val="20"/>
          <w:szCs w:val="20"/>
          <w:lang w:val="en-US"/>
        </w:rPr>
      </w:pPr>
      <w:r w:rsidRPr="00952299">
        <w:rPr>
          <w:rFonts w:ascii="Sylfaen" w:hAnsi="Sylfaen" w:cs="Sylfaen"/>
          <w:b/>
          <w:sz w:val="20"/>
          <w:szCs w:val="20"/>
          <w:lang w:val="ka-GE"/>
        </w:rPr>
        <w:t>გადასასვლელის მორიგე</w:t>
      </w:r>
      <w:r w:rsidRPr="00952299">
        <w:rPr>
          <w:rFonts w:ascii="Sylfaen" w:hAnsi="Sylfaen" w:cs="Sylfaen"/>
          <w:b/>
          <w:bCs/>
          <w:sz w:val="20"/>
          <w:szCs w:val="20"/>
          <w:lang w:val="ka-GE"/>
        </w:rPr>
        <w:t>,</w:t>
      </w:r>
    </w:p>
    <w:p w14:paraId="53F5236F" w14:textId="77777777" w:rsidR="00CB3363" w:rsidRPr="001815C2" w:rsidRDefault="00CB3363" w:rsidP="00CB3363">
      <w:pPr>
        <w:rPr>
          <w:rFonts w:ascii="Sylfaen" w:hAnsi="Sylfaen"/>
          <w:b/>
          <w:sz w:val="16"/>
          <w:szCs w:val="16"/>
          <w:lang w:val="en-US"/>
        </w:rPr>
      </w:pPr>
      <w:r w:rsidRPr="001815C2">
        <w:rPr>
          <w:rFonts w:ascii="Sylfaen" w:hAnsi="Sylfaen"/>
          <w:b/>
          <w:sz w:val="16"/>
          <w:szCs w:val="16"/>
          <w:lang w:val="ka-GE"/>
        </w:rPr>
        <w:t xml:space="preserve"> </w:t>
      </w:r>
      <w:r w:rsidRPr="001815C2">
        <w:rPr>
          <w:rFonts w:ascii="Sylfaen" w:hAnsi="Sylfaen"/>
          <w:b/>
          <w:sz w:val="16"/>
          <w:szCs w:val="16"/>
          <w:lang w:val="en-US"/>
        </w:rPr>
        <w:t>საკვალიფიკაციო მოთხოვნები:</w:t>
      </w:r>
    </w:p>
    <w:p w14:paraId="7E5D48AA" w14:textId="1E443D19" w:rsidR="00CB3363" w:rsidRPr="001815C2" w:rsidRDefault="00CB3363" w:rsidP="00CB3363">
      <w:pPr>
        <w:spacing w:after="240"/>
        <w:rPr>
          <w:rFonts w:ascii="Sylfaen" w:hAnsi="Sylfaen"/>
          <w:b/>
          <w:sz w:val="16"/>
          <w:szCs w:val="16"/>
          <w:lang w:val="en-US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CB3363" w:rsidRPr="00357114" w14:paraId="10D8D6C8" w14:textId="77777777" w:rsidTr="00D51AF9">
        <w:trPr>
          <w:trHeight w:val="366"/>
        </w:trPr>
        <w:tc>
          <w:tcPr>
            <w:tcW w:w="359" w:type="dxa"/>
          </w:tcPr>
          <w:p w14:paraId="5BB99ED0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12" w:type="dxa"/>
          </w:tcPr>
          <w:p w14:paraId="7B0E718B" w14:textId="77777777" w:rsidR="00CB3363" w:rsidRPr="001815C2" w:rsidRDefault="00CB3363" w:rsidP="00D51AF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განათლება</w:t>
            </w:r>
          </w:p>
        </w:tc>
        <w:tc>
          <w:tcPr>
            <w:tcW w:w="6629" w:type="dxa"/>
          </w:tcPr>
          <w:p w14:paraId="7426D57B" w14:textId="77777777" w:rsidR="00CB3363" w:rsidRPr="00A3363E" w:rsidRDefault="00CB3363" w:rsidP="00D51AF9">
            <w:pPr>
              <w:jc w:val="both"/>
              <w:rPr>
                <w:rFonts w:ascii="Sylfaen" w:hAnsi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არასრული საშუალო</w:t>
            </w:r>
          </w:p>
        </w:tc>
      </w:tr>
      <w:tr w:rsidR="00CB3363" w:rsidRPr="00357114" w14:paraId="37F4122C" w14:textId="77777777" w:rsidTr="00D51AF9">
        <w:tc>
          <w:tcPr>
            <w:tcW w:w="359" w:type="dxa"/>
          </w:tcPr>
          <w:p w14:paraId="69B47D50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12" w:type="dxa"/>
          </w:tcPr>
          <w:p w14:paraId="4C384AEA" w14:textId="77777777" w:rsidR="00CB3363" w:rsidRPr="001815C2" w:rsidRDefault="00CB3363" w:rsidP="00D51AF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მუშაობის</w:t>
            </w: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გამოცდილება</w:t>
            </w:r>
          </w:p>
        </w:tc>
        <w:tc>
          <w:tcPr>
            <w:tcW w:w="6629" w:type="dxa"/>
          </w:tcPr>
          <w:p w14:paraId="269EDF95" w14:textId="77777777" w:rsidR="00CB3363" w:rsidRPr="001815C2" w:rsidRDefault="00CB3363" w:rsidP="00D51AF9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>საგამოცდო ვადა</w:t>
            </w:r>
          </w:p>
        </w:tc>
      </w:tr>
      <w:tr w:rsidR="00CB3363" w:rsidRPr="00357114" w14:paraId="452A4C82" w14:textId="77777777" w:rsidTr="00D51AF9">
        <w:tc>
          <w:tcPr>
            <w:tcW w:w="359" w:type="dxa"/>
          </w:tcPr>
          <w:p w14:paraId="296A00EC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12" w:type="dxa"/>
          </w:tcPr>
          <w:p w14:paraId="62B21687" w14:textId="77777777" w:rsidR="00CB3363" w:rsidRPr="001815C2" w:rsidRDefault="00CB3363" w:rsidP="00D51AF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აუცილებელი</w:t>
            </w:r>
            <w:r w:rsidRPr="001815C2">
              <w:rPr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ცოდნა</w:t>
            </w:r>
            <w:r w:rsidRPr="001815C2">
              <w:rPr>
                <w:sz w:val="16"/>
                <w:szCs w:val="16"/>
              </w:rPr>
              <w:t xml:space="preserve"> </w:t>
            </w:r>
          </w:p>
        </w:tc>
        <w:tc>
          <w:tcPr>
            <w:tcW w:w="6629" w:type="dxa"/>
          </w:tcPr>
          <w:p w14:paraId="65172D1B" w14:textId="77777777" w:rsidR="00CB3363" w:rsidRPr="001815C2" w:rsidRDefault="00CB3363" w:rsidP="00D51AF9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დაკვირვებულობა, ოპერატიულობა, პასუხისმგებლობა, კომუნიკაბელურობა.</w:t>
            </w:r>
          </w:p>
        </w:tc>
      </w:tr>
      <w:tr w:rsidR="00CB3363" w:rsidRPr="00357114" w14:paraId="7BA67533" w14:textId="77777777" w:rsidTr="00D51AF9">
        <w:tc>
          <w:tcPr>
            <w:tcW w:w="359" w:type="dxa"/>
          </w:tcPr>
          <w:p w14:paraId="02C6000E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12" w:type="dxa"/>
          </w:tcPr>
          <w:p w14:paraId="00FCD0FD" w14:textId="77777777" w:rsidR="00CB3363" w:rsidRPr="001815C2" w:rsidRDefault="00CB3363" w:rsidP="00D51AF9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სხვა მოთხოვნები</w:t>
            </w:r>
          </w:p>
          <w:p w14:paraId="7DEA1A5A" w14:textId="77777777" w:rsidR="00CB3363" w:rsidRPr="001815C2" w:rsidRDefault="00CB3363" w:rsidP="00D51AF9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1901F87C" w14:textId="77777777" w:rsidR="00CB3363" w:rsidRPr="001815C2" w:rsidRDefault="00CB3363" w:rsidP="00D51AF9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 xml:space="preserve">1.ტექნიკური ექსპლუატაციის წესები, 2.მატარებელთა მოძრაობისა და სამანევრო მუშაობის ინსტრუქცია, 3.სიგნალიზაციის ინსტრუქცია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4.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>გადასასვლელების მოვლა-შენახვის ინსტრუქცია სხვა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 xml:space="preserve">ნორმატიული აქტები და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ადგილობრივი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pt-BR"/>
              </w:rPr>
              <w:t>ინსტრუქციები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>.</w:t>
            </w:r>
          </w:p>
        </w:tc>
      </w:tr>
    </w:tbl>
    <w:p w14:paraId="0A9E77DD" w14:textId="77777777" w:rsidR="00952299" w:rsidRDefault="00952299" w:rsidP="00CB3363">
      <w:pPr>
        <w:spacing w:after="240"/>
        <w:rPr>
          <w:rFonts w:ascii="Sylfaen" w:hAnsi="Sylfaen"/>
          <w:b/>
          <w:sz w:val="20"/>
          <w:szCs w:val="20"/>
          <w:lang w:val="en-US"/>
        </w:rPr>
      </w:pPr>
    </w:p>
    <w:p w14:paraId="65942114" w14:textId="77777777" w:rsidR="00952299" w:rsidRDefault="00952299" w:rsidP="00CB3363">
      <w:pPr>
        <w:spacing w:after="240"/>
        <w:rPr>
          <w:rFonts w:ascii="Sylfaen" w:hAnsi="Sylfaen"/>
          <w:b/>
          <w:sz w:val="20"/>
          <w:szCs w:val="20"/>
          <w:lang w:val="en-US"/>
        </w:rPr>
      </w:pPr>
    </w:p>
    <w:p w14:paraId="3BEB22A8" w14:textId="7C690FE8" w:rsidR="00CB3363" w:rsidRPr="00357114" w:rsidRDefault="00CB3363" w:rsidP="00CB3363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CB3363" w:rsidRPr="00357114" w14:paraId="69B40BB8" w14:textId="77777777" w:rsidTr="00D51AF9">
        <w:trPr>
          <w:trHeight w:val="392"/>
        </w:trPr>
        <w:tc>
          <w:tcPr>
            <w:tcW w:w="360" w:type="dxa"/>
          </w:tcPr>
          <w:p w14:paraId="469D6E0F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</w:tcPr>
          <w:p w14:paraId="209405ED" w14:textId="77777777" w:rsidR="00CB3363" w:rsidRPr="001815C2" w:rsidRDefault="00CB3363" w:rsidP="00D51AF9">
            <w:pPr>
              <w:rPr>
                <w:rFonts w:ascii="Sylfaen" w:hAnsi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  <w:lang w:val="pt-BR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დროულად დაკეტოს და გააღოს გადასასვლელზე “შლაგბაუმები”</w:t>
            </w:r>
          </w:p>
        </w:tc>
      </w:tr>
      <w:tr w:rsidR="00CB3363" w:rsidRPr="00357114" w14:paraId="0D1266FE" w14:textId="77777777" w:rsidTr="00D51AF9">
        <w:trPr>
          <w:trHeight w:val="392"/>
        </w:trPr>
        <w:tc>
          <w:tcPr>
            <w:tcW w:w="360" w:type="dxa"/>
          </w:tcPr>
          <w:p w14:paraId="3B327BA5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1ABE2EB4" w14:textId="77777777" w:rsidR="00CB3363" w:rsidRPr="001815C2" w:rsidRDefault="00CB3363" w:rsidP="00D51AF9">
            <w:pPr>
              <w:rPr>
                <w:rFonts w:ascii="Sylfaen" w:hAnsi="Sylfaen"/>
                <w:b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მატარებელს შეხვდეს დადგენილი წესის შესაბამისად და მისცეს საჭირო სიგნალები</w:t>
            </w:r>
          </w:p>
        </w:tc>
      </w:tr>
      <w:tr w:rsidR="00CB3363" w:rsidRPr="00357114" w14:paraId="0F25D517" w14:textId="77777777" w:rsidTr="00D51AF9">
        <w:trPr>
          <w:trHeight w:val="392"/>
        </w:trPr>
        <w:tc>
          <w:tcPr>
            <w:tcW w:w="360" w:type="dxa"/>
          </w:tcPr>
          <w:p w14:paraId="1605C936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7704D329" w14:textId="77777777" w:rsidR="00CB3363" w:rsidRPr="001815C2" w:rsidRDefault="00CB3363" w:rsidP="00D51AF9">
            <w:pPr>
              <w:jc w:val="both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ყურადღება მიაქციოს მოძრავი შემადგენლობის მთლიანობას</w:t>
            </w:r>
          </w:p>
        </w:tc>
      </w:tr>
      <w:tr w:rsidR="00CB3363" w:rsidRPr="00357114" w14:paraId="0804C251" w14:textId="77777777" w:rsidTr="00D51AF9">
        <w:trPr>
          <w:trHeight w:val="392"/>
        </w:trPr>
        <w:tc>
          <w:tcPr>
            <w:tcW w:w="360" w:type="dxa"/>
          </w:tcPr>
          <w:p w14:paraId="396C9D4F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16DBC441" w14:textId="77777777" w:rsidR="00CB3363" w:rsidRPr="001815C2" w:rsidRDefault="00CB3363" w:rsidP="00D51AF9">
            <w:pPr>
              <w:jc w:val="both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ყურადღება მიაქციოს გადასასვლელის ჯიხურიდან 50 მეტრის მანძილზე ორივე მიმართულებით ლიანდაგის გამართულობას და ესთეტიკურ მხარეს</w:t>
            </w:r>
          </w:p>
        </w:tc>
      </w:tr>
      <w:tr w:rsidR="00CB3363" w:rsidRPr="00357114" w14:paraId="4B759C21" w14:textId="77777777" w:rsidTr="00D51AF9">
        <w:trPr>
          <w:trHeight w:val="446"/>
        </w:trPr>
        <w:tc>
          <w:tcPr>
            <w:tcW w:w="360" w:type="dxa"/>
          </w:tcPr>
          <w:p w14:paraId="399F4297" w14:textId="77777777" w:rsidR="00CB3363" w:rsidRPr="00357114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2DCA784B" w14:textId="77777777" w:rsidR="00CB3363" w:rsidRPr="001815C2" w:rsidRDefault="00CB3363" w:rsidP="00D51AF9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აწარმოოს  ჩანაწერი მორიგეობის ჟურნალში ცვლის გადაბარებისას. </w:t>
            </w:r>
          </w:p>
        </w:tc>
      </w:tr>
      <w:tr w:rsidR="00CB3363" w:rsidRPr="00357114" w14:paraId="54F993BB" w14:textId="77777777" w:rsidTr="00D51AF9">
        <w:trPr>
          <w:trHeight w:val="446"/>
        </w:trPr>
        <w:tc>
          <w:tcPr>
            <w:tcW w:w="360" w:type="dxa"/>
          </w:tcPr>
          <w:p w14:paraId="79F37161" w14:textId="77777777" w:rsidR="00CB3363" w:rsidRPr="00204D0E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9540" w:type="dxa"/>
          </w:tcPr>
          <w:p w14:paraId="0B519CD0" w14:textId="77777777" w:rsidR="00CB3363" w:rsidRPr="001815C2" w:rsidRDefault="00CB3363" w:rsidP="00D51AF9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დაუყოვნებლივ მოახდინოს ლიანდაგის გადაკეტვა სასიგნალო ნიშნებით თუ საფრთხე ექმნება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 xml:space="preserve">მატარებელთა უსაფრთხო მოძრაობას </w:t>
            </w:r>
          </w:p>
        </w:tc>
      </w:tr>
      <w:tr w:rsidR="00CB3363" w:rsidRPr="00357114" w14:paraId="037F1A52" w14:textId="77777777" w:rsidTr="00D51AF9">
        <w:trPr>
          <w:trHeight w:val="446"/>
        </w:trPr>
        <w:tc>
          <w:tcPr>
            <w:tcW w:w="360" w:type="dxa"/>
          </w:tcPr>
          <w:p w14:paraId="05A5414F" w14:textId="77777777" w:rsidR="00CB3363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9540" w:type="dxa"/>
          </w:tcPr>
          <w:p w14:paraId="2FC7150B" w14:textId="77777777" w:rsidR="00CB3363" w:rsidRPr="001815C2" w:rsidRDefault="00CB3363" w:rsidP="00D51AF9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დაუყოვნებლივ შეწყვიტოს სატრანსპორტო საშუალებების მოძრაობა გადასასვლელზე მატარებელთა მოახლოების შეტყობინების მიღებისას</w:t>
            </w:r>
          </w:p>
        </w:tc>
      </w:tr>
      <w:tr w:rsidR="00CB3363" w:rsidRPr="00357114" w14:paraId="32C2CE24" w14:textId="77777777" w:rsidTr="00D51AF9">
        <w:trPr>
          <w:trHeight w:val="446"/>
        </w:trPr>
        <w:tc>
          <w:tcPr>
            <w:tcW w:w="360" w:type="dxa"/>
          </w:tcPr>
          <w:p w14:paraId="3E216EAA" w14:textId="77777777" w:rsidR="00CB3363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540" w:type="dxa"/>
          </w:tcPr>
          <w:p w14:paraId="239F5669" w14:textId="77777777" w:rsidR="00CB3363" w:rsidRPr="001815C2" w:rsidRDefault="00CB3363" w:rsidP="00D51AF9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შრომის დისციპლინისა და შინაგანაწესის  დაცვა</w:t>
            </w:r>
          </w:p>
        </w:tc>
      </w:tr>
      <w:tr w:rsidR="00CB3363" w:rsidRPr="00357114" w14:paraId="110BCFC9" w14:textId="77777777" w:rsidTr="00D51AF9">
        <w:trPr>
          <w:trHeight w:val="446"/>
        </w:trPr>
        <w:tc>
          <w:tcPr>
            <w:tcW w:w="360" w:type="dxa"/>
          </w:tcPr>
          <w:p w14:paraId="766B064E" w14:textId="77777777" w:rsidR="00CB3363" w:rsidRDefault="00CB3363" w:rsidP="00D51AF9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9540" w:type="dxa"/>
          </w:tcPr>
          <w:p w14:paraId="02DDC644" w14:textId="77777777" w:rsidR="00CB3363" w:rsidRPr="001815C2" w:rsidRDefault="00CB3363" w:rsidP="00D51AF9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1815C2">
              <w:rPr>
                <w:rFonts w:ascii="Sylfaen" w:hAnsi="Sylfaen" w:cs="Arial"/>
                <w:color w:val="000000"/>
                <w:sz w:val="16"/>
                <w:szCs w:val="16"/>
              </w:rPr>
              <w:t>შრომის დაცვის, უსაფრთხოების ტექნიკის, საწარმოო სანიტარიის  და სახანძრო უსაფრთხოების წესების დაცვა.</w:t>
            </w:r>
          </w:p>
        </w:tc>
      </w:tr>
    </w:tbl>
    <w:p w14:paraId="0D2F0487" w14:textId="77777777" w:rsidR="00CB3363" w:rsidRPr="00357114" w:rsidRDefault="00CB3363" w:rsidP="00CB3363">
      <w:pPr>
        <w:rPr>
          <w:rFonts w:ascii="Sylfaen" w:hAnsi="Sylfaen"/>
          <w:b/>
          <w:sz w:val="20"/>
          <w:szCs w:val="20"/>
          <w:lang w:val="en-US"/>
        </w:rPr>
      </w:pPr>
    </w:p>
    <w:p w14:paraId="5FCD637E" w14:textId="77777777" w:rsidR="00CB3363" w:rsidRPr="007B7700" w:rsidRDefault="00CB3363" w:rsidP="00CB3363">
      <w:pPr>
        <w:ind w:firstLine="708"/>
        <w:rPr>
          <w:rFonts w:ascii="Sylfaen" w:hAnsi="Sylfaen" w:cs="Sylfaen"/>
          <w:sz w:val="16"/>
          <w:szCs w:val="16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  <w:lang w:val="ka-GE"/>
        </w:rPr>
        <w:t>_</w:t>
      </w:r>
      <w:r w:rsidRPr="000F273C">
        <w:rPr>
          <w:rFonts w:ascii="Sylfaen" w:hAnsi="Sylfaen" w:cs="Sylfaen"/>
          <w:sz w:val="16"/>
          <w:szCs w:val="16"/>
          <w:lang w:val="ka-GE"/>
        </w:rPr>
        <w:t>ცვლა</w:t>
      </w:r>
      <w:r w:rsidRPr="000F273C">
        <w:rPr>
          <w:rFonts w:cs="AcadNusx"/>
          <w:sz w:val="16"/>
          <w:szCs w:val="16"/>
          <w:lang w:val="ka-GE"/>
        </w:rPr>
        <w:t xml:space="preserve"> (</w:t>
      </w:r>
      <w:r w:rsidRPr="000F273C">
        <w:rPr>
          <w:rFonts w:ascii="Sylfaen" w:hAnsi="Sylfaen" w:cs="Sylfaen"/>
          <w:sz w:val="16"/>
          <w:szCs w:val="16"/>
          <w:lang w:val="ka-GE"/>
        </w:rPr>
        <w:t>ღამის</w:t>
      </w:r>
      <w:r w:rsidRPr="000F273C">
        <w:rPr>
          <w:rFonts w:cs="AcadNusx"/>
          <w:sz w:val="16"/>
          <w:szCs w:val="16"/>
          <w:lang w:val="ka-GE"/>
        </w:rPr>
        <w:t xml:space="preserve"> </w:t>
      </w:r>
      <w:r w:rsidRPr="000F273C">
        <w:rPr>
          <w:rFonts w:ascii="Sylfaen" w:hAnsi="Sylfaen" w:cs="Sylfaen"/>
          <w:sz w:val="16"/>
          <w:szCs w:val="16"/>
          <w:lang w:val="ka-GE"/>
        </w:rPr>
        <w:t>საათებით</w:t>
      </w:r>
      <w:r w:rsidRPr="000F273C">
        <w:rPr>
          <w:rFonts w:cs="AcadNusx"/>
          <w:sz w:val="16"/>
          <w:szCs w:val="16"/>
          <w:lang w:val="ka-GE"/>
        </w:rPr>
        <w:t>)</w:t>
      </w:r>
      <w:r w:rsidRPr="000F273C">
        <w:rPr>
          <w:rFonts w:cs="AcadNusx"/>
          <w:sz w:val="16"/>
          <w:szCs w:val="16"/>
          <w:lang w:val="en-US"/>
        </w:rPr>
        <w:t>-</w:t>
      </w:r>
      <w:r w:rsidRPr="000F273C">
        <w:rPr>
          <w:rFonts w:ascii="Sylfaen" w:hAnsi="Sylfaen" w:cs="Sylfaen"/>
          <w:sz w:val="16"/>
          <w:szCs w:val="16"/>
          <w:lang w:val="ka-GE"/>
        </w:rPr>
        <w:t>თანამდებობრივი</w:t>
      </w:r>
      <w:r w:rsidRPr="000F273C">
        <w:rPr>
          <w:rFonts w:ascii="Sylfaen" w:hAnsi="Sylfaen" w:cs="Sylfaen"/>
          <w:sz w:val="16"/>
          <w:szCs w:val="16"/>
          <w:lang w:val="en-US"/>
        </w:rPr>
        <w:t xml:space="preserve"> სარგო </w:t>
      </w:r>
      <w:r w:rsidRPr="000F273C">
        <w:rPr>
          <w:rFonts w:ascii="Sylfaen" w:hAnsi="Sylfaen" w:cs="Sylfaen"/>
          <w:sz w:val="16"/>
          <w:szCs w:val="16"/>
          <w:lang w:val="ka-GE"/>
        </w:rPr>
        <w:t xml:space="preserve">- </w:t>
      </w:r>
      <w:r w:rsidRPr="000F273C">
        <w:rPr>
          <w:rFonts w:ascii="Sylfaen" w:hAnsi="Sylfaen" w:cs="AcadNusx"/>
          <w:sz w:val="16"/>
          <w:szCs w:val="16"/>
          <w:lang w:val="ka-GE"/>
        </w:rPr>
        <w:t>1035</w:t>
      </w:r>
      <w:r w:rsidRPr="000F273C">
        <w:rPr>
          <w:rFonts w:cs="AcadNusx"/>
          <w:sz w:val="16"/>
          <w:szCs w:val="16"/>
          <w:lang w:val="ka-GE"/>
        </w:rPr>
        <w:t xml:space="preserve"> </w:t>
      </w:r>
      <w:r w:rsidRPr="000F273C">
        <w:rPr>
          <w:rFonts w:ascii="Sylfaen" w:hAnsi="Sylfaen" w:cs="AcadNusx"/>
          <w:sz w:val="16"/>
          <w:szCs w:val="16"/>
          <w:lang w:val="ka-GE"/>
        </w:rPr>
        <w:t>ლარი</w:t>
      </w:r>
      <w:r w:rsidRPr="00357114">
        <w:rPr>
          <w:rFonts w:ascii="Sylfaen" w:hAnsi="Sylfaen"/>
          <w:b/>
          <w:sz w:val="20"/>
          <w:szCs w:val="20"/>
          <w:lang w:val="en-US"/>
        </w:rPr>
        <w:t xml:space="preserve">             </w:t>
      </w:r>
    </w:p>
    <w:p w14:paraId="656EB84E" w14:textId="77777777" w:rsidR="00CB3363" w:rsidRPr="007B7700" w:rsidRDefault="00CB3363" w:rsidP="00CB3363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AcadNusx"/>
          <w:sz w:val="16"/>
          <w:szCs w:val="16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>სტრუქურული ერთეულის დასახელება: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0F273C">
        <w:rPr>
          <w:rFonts w:ascii="Sylfaen" w:hAnsi="Sylfaen" w:cs="Sylfaen"/>
          <w:b/>
          <w:sz w:val="16"/>
          <w:szCs w:val="16"/>
          <w:lang w:val="ka-GE"/>
        </w:rPr>
        <w:t>გადასასვლელის მორიგე</w:t>
      </w:r>
      <w:r w:rsidRPr="000F273C">
        <w:rPr>
          <w:rFonts w:ascii="Sylfaen" w:hAnsi="Sylfaen" w:cs="Sylfaen"/>
          <w:b/>
          <w:bCs/>
          <w:sz w:val="16"/>
          <w:szCs w:val="16"/>
          <w:lang w:val="ka-GE"/>
        </w:rPr>
        <w:t>,</w:t>
      </w:r>
      <w:r w:rsidRPr="000F273C">
        <w:rPr>
          <w:rFonts w:cs="AcadNusx"/>
          <w:b/>
          <w:bCs/>
          <w:sz w:val="16"/>
          <w:szCs w:val="16"/>
          <w:lang w:val="ka-GE"/>
        </w:rPr>
        <w:t xml:space="preserve"> </w:t>
      </w:r>
      <w:r w:rsidRPr="000F273C">
        <w:rPr>
          <w:rFonts w:ascii="Sylfaen" w:hAnsi="Sylfaen" w:cs="AcadNusx"/>
          <w:b/>
          <w:bCs/>
          <w:sz w:val="16"/>
          <w:szCs w:val="16"/>
          <w:lang w:val="ka-GE"/>
        </w:rPr>
        <w:t>აღმოსავლეთის სალიანდაგო სამმართველო</w:t>
      </w:r>
      <w:r w:rsidRPr="000F273C">
        <w:rPr>
          <w:rFonts w:ascii="Sylfaen" w:hAnsi="Sylfaen" w:cs="AcadNusx"/>
          <w:b/>
          <w:bCs/>
          <w:sz w:val="16"/>
          <w:szCs w:val="16"/>
          <w:lang w:val="en-US"/>
        </w:rPr>
        <w:t xml:space="preserve">, სამხრეთ-აღმოსავლეთ </w:t>
      </w:r>
      <w:r w:rsidRPr="000F273C">
        <w:rPr>
          <w:rFonts w:ascii="Sylfaen" w:hAnsi="Sylfaen" w:cs="AcadNusx"/>
          <w:b/>
          <w:bCs/>
          <w:sz w:val="16"/>
          <w:szCs w:val="16"/>
          <w:lang w:val="ka-GE"/>
        </w:rPr>
        <w:t xml:space="preserve">რეგიონი, </w:t>
      </w:r>
      <w:r>
        <w:rPr>
          <w:rFonts w:ascii="Sylfaen" w:hAnsi="Sylfaen" w:cs="AcadNusx"/>
          <w:b/>
          <w:bCs/>
          <w:sz w:val="16"/>
          <w:szCs w:val="16"/>
          <w:lang w:val="ka-GE"/>
        </w:rPr>
        <w:t xml:space="preserve">თბილისი-საკვანძოს </w:t>
      </w:r>
      <w:r w:rsidRPr="000F273C">
        <w:rPr>
          <w:rFonts w:ascii="Sylfaen" w:hAnsi="Sylfaen" w:cs="AcadNusx"/>
          <w:b/>
          <w:bCs/>
          <w:sz w:val="16"/>
          <w:szCs w:val="16"/>
          <w:lang w:val="ka-GE"/>
        </w:rPr>
        <w:t>სალიანდაგო ცენტრი</w:t>
      </w:r>
      <w:r>
        <w:rPr>
          <w:rFonts w:ascii="Sylfaen" w:hAnsi="Sylfaen" w:cs="AcadNusx"/>
          <w:sz w:val="16"/>
          <w:szCs w:val="16"/>
          <w:lang w:val="ka-GE"/>
        </w:rPr>
        <w:t>.</w:t>
      </w:r>
    </w:p>
    <w:p w14:paraId="6669D928" w14:textId="77777777" w:rsidR="005E6682" w:rsidRDefault="005E6682"/>
    <w:sectPr w:rsidR="005E6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510"/>
    <w:rsid w:val="005E6682"/>
    <w:rsid w:val="00952299"/>
    <w:rsid w:val="00BC3510"/>
    <w:rsid w:val="00CB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16371"/>
  <w15:chartTrackingRefBased/>
  <w15:docId w15:val="{BB77F409-B1DA-4234-94E9-EFBD0F606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363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3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2026-05-20T10:01:00Z</dcterms:created>
  <dcterms:modified xsi:type="dcterms:W3CDTF">2026-05-20T10:19:00Z</dcterms:modified>
</cp:coreProperties>
</file>